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  <w:t>浙江师范大学大学生课外学术科技活动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  <w:t>第二十五期项目申报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课题指南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对象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  <w:t>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在招标课题指南范围内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  <w:t>直接选题，也可以在不改变课题研究方向的前提下，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结合本校实际、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  <w:t>自身研究领域、专长，自定题目申报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</w:rPr>
        <w:t>明确研究要点和成果等，课题结项时提交相关研究成果。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</w:rPr>
        <w:t>高校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团组织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</w:rPr>
        <w:t>提升政治引领力的路径研究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大学生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</w:rPr>
        <w:t>理想信念教育研究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</w:rPr>
        <w:t>高校学风建设研究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高校美育教育实践研究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现状与对策）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.高校团干部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学生骨干胜任力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现状与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提升机制研究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高校校园文化活动创新模式探索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基于社团特色的学生社团团支部建设实践与思考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.高校大学生创新创业竞赛参与情况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TW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高校毕业生就业现状瓶颈及对策研究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  <w:t>大学生志愿者服务社区行动长效机制研究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11.新时代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  <w:t>大学生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奉献精神研究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  <w:t>.大学生志愿者组织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现状调研与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  <w:t>育人功能研究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  <w:t>.大学生志愿服务西部计划成效评估和政策优化研究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  <w:t>.中国青年志愿者研究生支教团项目成效评估和政策优化研究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  <w:t>杭州亚运会志愿服务成果转化研究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zh-TW" w:eastAsia="zh-TW"/>
        </w:rPr>
        <w:t>大学生志愿服务保障与激励机制研究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17.“互联网时代”对高校校园文化建设的影响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18.共青团清廉文化长效培育机制研究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19.新时代大学生精神动力培育研究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浙江精神与大学生成长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新时代大学生团结观培育研究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新时代青年家国情怀培育研究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NTAzMGQ5NzUzMWVjYmVkNTVkZTBiOGVmMTgyNWEifQ=="/>
  </w:docVars>
  <w:rsids>
    <w:rsidRoot w:val="2EB95EE2"/>
    <w:rsid w:val="2EB9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2023-03-22T02:47:00Z</dcterms:created>
  <dc:creator>有岛</dc:creator>
  <cp:lastModifiedBy>有岛</cp:lastModifiedBy>
  <dcterms:modified xsi:type="dcterms:W3CDTF">2023-03-22T02:49:24Z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39CBBA130F59440ABEDB2DF5BF37E330</vt:lpwstr>
  </property>
</Properties>
</file>