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附件1：</w:t>
      </w:r>
    </w:p>
    <w:p>
      <w:pPr>
        <w:spacing w:line="360" w:lineRule="auto"/>
        <w:ind w:right="206" w:rightChars="98"/>
        <w:jc w:val="center"/>
        <w:rPr>
          <w:rFonts w:ascii="仿宋_GB2312" w:hAnsi="宋体" w:eastAsia="仿宋_GB2312"/>
          <w:b/>
          <w:bCs/>
          <w:sz w:val="32"/>
          <w:szCs w:val="32"/>
        </w:rPr>
      </w:pPr>
      <w:bookmarkStart w:id="1" w:name="_GoBack"/>
      <w:r>
        <w:rPr>
          <w:rFonts w:hint="eastAsia" w:ascii="仿宋_GB2312" w:hAnsi="宋体" w:eastAsia="仿宋_GB2312"/>
          <w:b/>
          <w:bCs/>
          <w:sz w:val="32"/>
          <w:szCs w:val="32"/>
        </w:rPr>
        <w:t>马克思主义学院2022年职业生涯规划大赛决赛评分标准</w:t>
      </w:r>
    </w:p>
    <w:bookmarkEnd w:id="1"/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414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评分要素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评分要点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主题陈述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基本素养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bookmarkStart w:id="0" w:name="OLE_LINK1"/>
            <w:r>
              <w:rPr>
                <w:rFonts w:hint="eastAsia" w:ascii="仿宋_GB2312" w:eastAsia="仿宋_GB2312"/>
                <w:bCs/>
                <w:sz w:val="24"/>
                <w:szCs w:val="24"/>
              </w:rPr>
              <w:t>3</w:t>
            </w:r>
            <w:bookmarkEnd w:id="0"/>
            <w:r>
              <w:rPr>
                <w:rFonts w:hint="eastAsia" w:ascii="仿宋_GB2312" w:eastAsia="仿宋_GB2312"/>
                <w:bCs/>
                <w:sz w:val="24"/>
                <w:szCs w:val="24"/>
              </w:rPr>
              <w:t>.精神饱满，有信心，有独立见解，能充分展现大学生朝气蓬勃的精神风貌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陈述内容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4.PPT设计重点突出，简明扼要，条理清晰，结论明确，能够准确提炼职业规划设计作品的主要内容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即时效果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现场答辩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针对性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说服力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4.应变能力强，能够灵活地、创造性地应用职业规划知识作答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137CF"/>
    <w:rsid w:val="5F01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2022-04-11T06:52:00Z</dcterms:created>
  <dc:creator>Lily</dc:creator>
  <cp:lastModifiedBy>Lily</cp:lastModifiedBy>
  <dcterms:modified xsi:type="dcterms:W3CDTF">2022-04-11T06:53:11Z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6A61BEEEA80649329BB343499FDAEBE7</vt:lpwstr>
  </property>
</Properties>
</file>