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b/>
          <w:sz w:val="32"/>
          <w:szCs w:val="28"/>
          <w:highlight w:val="none"/>
        </w:rPr>
      </w:pPr>
      <w:r>
        <w:rPr>
          <w:rFonts w:hint="eastAsia" w:ascii="仿宋" w:hAnsi="仿宋" w:eastAsia="仿宋" w:cs="仿宋"/>
          <w:b/>
          <w:sz w:val="32"/>
          <w:szCs w:val="28"/>
          <w:highlight w:val="none"/>
        </w:rPr>
        <w:t>附件2：</w:t>
      </w:r>
    </w:p>
    <w:p>
      <w:pPr>
        <w:widowControl/>
        <w:jc w:val="center"/>
        <w:rPr>
          <w:rFonts w:ascii="华文中宋" w:hAnsi="华文中宋" w:eastAsia="华文中宋" w:cs="仿宋"/>
          <w:b/>
          <w:sz w:val="36"/>
          <w:szCs w:val="36"/>
        </w:rPr>
      </w:pPr>
      <w:r>
        <w:rPr>
          <w:rFonts w:hint="eastAsia" w:ascii="华文中宋" w:hAnsi="华文中宋" w:eastAsia="华文中宋" w:cs="仿宋"/>
          <w:b/>
          <w:sz w:val="36"/>
          <w:szCs w:val="36"/>
        </w:rPr>
        <w:t>马克思主义学院第五届师范技能大比武</w:t>
      </w:r>
    </w:p>
    <w:p>
      <w:pPr>
        <w:widowControl/>
        <w:jc w:val="center"/>
        <w:rPr>
          <w:rFonts w:ascii="华文中宋" w:hAnsi="华文中宋" w:eastAsia="华文中宋" w:cs="仿宋"/>
          <w:b/>
          <w:sz w:val="36"/>
          <w:szCs w:val="36"/>
        </w:rPr>
      </w:pPr>
      <w:r>
        <w:rPr>
          <w:rFonts w:hint="eastAsia" w:ascii="华文中宋" w:hAnsi="华文中宋" w:eastAsia="华文中宋" w:cs="仿宋"/>
          <w:b/>
          <w:sz w:val="36"/>
          <w:szCs w:val="36"/>
        </w:rPr>
        <w:t>决赛具体要求及评分细则</w:t>
      </w:r>
    </w:p>
    <w:p>
      <w:pPr>
        <w:numPr>
          <w:ilvl w:val="0"/>
          <w:numId w:val="1"/>
        </w:numPr>
        <w:spacing w:before="156" w:beforeLines="50" w:line="400" w:lineRule="exact"/>
        <w:jc w:val="left"/>
        <w:outlineLvl w:val="0"/>
        <w:rPr>
          <w:rFonts w:ascii="等线" w:hAnsi="等线" w:eastAsia="黑体"/>
          <w:sz w:val="28"/>
          <w:szCs w:val="28"/>
        </w:rPr>
      </w:pPr>
      <w:r>
        <w:rPr>
          <w:rFonts w:hint="eastAsia" w:ascii="等线" w:hAnsi="等线" w:eastAsia="黑体"/>
          <w:sz w:val="28"/>
          <w:szCs w:val="28"/>
        </w:rPr>
        <w:t>比赛内容</w:t>
      </w:r>
    </w:p>
    <w:p>
      <w:pPr>
        <w:spacing w:line="6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本次师范技能大比武决赛参照浙江师范大学校赛标准制定分为“即席讲演”和“模拟上课”两大板块，在考验每位决赛选手的教学功底的同时考察每位选手的临场应对能力。</w:t>
      </w:r>
    </w:p>
    <w:p>
      <w:pPr>
        <w:numPr>
          <w:ilvl w:val="0"/>
          <w:numId w:val="1"/>
        </w:numPr>
        <w:spacing w:before="156" w:beforeLines="50" w:line="400" w:lineRule="exact"/>
        <w:jc w:val="left"/>
        <w:outlineLvl w:val="0"/>
        <w:rPr>
          <w:rFonts w:ascii="仿宋_GB2312" w:hAnsi="宋体" w:eastAsia="仿宋_GB2312"/>
          <w:b/>
          <w:sz w:val="28"/>
          <w:szCs w:val="28"/>
        </w:rPr>
      </w:pPr>
      <w:r>
        <w:rPr>
          <w:rFonts w:hint="eastAsia" w:ascii="等线" w:hAnsi="等线" w:eastAsia="黑体"/>
          <w:sz w:val="28"/>
          <w:szCs w:val="28"/>
        </w:rPr>
        <w:t>具体流程</w:t>
      </w:r>
    </w:p>
    <w:p>
      <w:pPr>
        <w:spacing w:line="60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rPr>
        <w:t>决赛选手先至备赛室抽取模拟上课框题，任取其中一目进行1小时的备课准备，计时结束后在工作人员带领下前往候场室，于候场室内抽取即席讲演题目并在5分钟后前往考场依次进行即席讲演和模拟上课的展示。</w:t>
      </w:r>
      <w:r>
        <w:rPr>
          <w:rFonts w:hint="eastAsia" w:ascii="仿宋_GB2312" w:hAnsi="宋体" w:eastAsia="仿宋_GB2312"/>
          <w:color w:val="000000"/>
          <w:sz w:val="28"/>
          <w:szCs w:val="28"/>
          <w:highlight w:val="none"/>
        </w:rPr>
        <w:t>模拟上课结束后，评委将根据选手的表现进行</w:t>
      </w:r>
      <w:r>
        <w:rPr>
          <w:rFonts w:hint="eastAsia" w:ascii="仿宋_GB2312" w:hAnsi="宋体" w:eastAsia="仿宋_GB2312"/>
          <w:color w:val="000000"/>
          <w:sz w:val="28"/>
          <w:szCs w:val="28"/>
          <w:highlight w:val="none"/>
          <w:lang w:val="en-US" w:eastAsia="zh-CN"/>
        </w:rPr>
        <w:t>点评</w:t>
      </w: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点评</w:t>
      </w:r>
      <w:r>
        <w:rPr>
          <w:rFonts w:hint="eastAsia" w:ascii="仿宋_GB2312" w:hAnsi="宋体" w:eastAsia="仿宋_GB2312"/>
          <w:color w:val="000000"/>
          <w:sz w:val="28"/>
          <w:szCs w:val="28"/>
          <w:highlight w:val="none"/>
        </w:rPr>
        <w:t>结束后选手可自行离场。</w:t>
      </w:r>
    </w:p>
    <w:p>
      <w:pPr>
        <w:spacing w:line="600" w:lineRule="exact"/>
        <w:rPr>
          <w:rFonts w:ascii="仿宋_GB2312" w:hAnsi="宋体" w:eastAsia="仿宋_GB2312"/>
          <w:color w:val="000000"/>
          <w:sz w:val="28"/>
          <w:szCs w:val="28"/>
        </w:rPr>
      </w:pPr>
      <w:r>
        <w:rPr>
          <w:rFonts w:hint="eastAsia" w:ascii="仿宋_GB2312" w:hAnsi="宋体" w:eastAsia="仿宋_GB2312"/>
          <w:color w:val="000000"/>
          <w:sz w:val="28"/>
          <w:szCs w:val="28"/>
        </w:rPr>
        <w:t>注：</w:t>
      </w:r>
    </w:p>
    <w:p>
      <w:pPr>
        <w:spacing w:line="600" w:lineRule="exact"/>
        <w:ind w:firstLine="560" w:firstLineChars="200"/>
        <w:rPr>
          <w:rFonts w:ascii="仿宋_GB2312" w:hAnsi="宋体" w:eastAsia="仿宋_GB2312"/>
          <w:bCs/>
          <w:sz w:val="28"/>
          <w:szCs w:val="28"/>
          <w:highlight w:val="none"/>
        </w:rPr>
      </w:pPr>
      <w:r>
        <w:rPr>
          <w:rFonts w:hint="eastAsia" w:ascii="仿宋_GB2312" w:hAnsi="宋体" w:eastAsia="仿宋_GB2312"/>
          <w:color w:val="000000"/>
          <w:sz w:val="28"/>
          <w:szCs w:val="28"/>
        </w:rPr>
        <w:t>1、每位选手正式比赛时间</w:t>
      </w:r>
      <w:r>
        <w:rPr>
          <w:rFonts w:hint="eastAsia" w:ascii="仿宋_GB2312" w:hAnsi="宋体" w:eastAsia="仿宋_GB2312"/>
          <w:bCs/>
          <w:sz w:val="28"/>
          <w:szCs w:val="28"/>
        </w:rPr>
        <w:t>为</w:t>
      </w:r>
      <w:r>
        <w:rPr>
          <w:rFonts w:ascii="仿宋_GB2312" w:hAnsi="宋体" w:eastAsia="仿宋_GB2312"/>
          <w:bCs/>
          <w:sz w:val="28"/>
          <w:szCs w:val="28"/>
        </w:rPr>
        <w:t>1</w:t>
      </w:r>
      <w:r>
        <w:rPr>
          <w:rFonts w:hint="eastAsia" w:ascii="仿宋_GB2312" w:hAnsi="宋体" w:eastAsia="仿宋_GB2312"/>
          <w:bCs/>
          <w:sz w:val="28"/>
          <w:szCs w:val="28"/>
        </w:rPr>
        <w:t>1分钟</w:t>
      </w:r>
      <w:r>
        <w:rPr>
          <w:rFonts w:hint="eastAsia" w:ascii="仿宋_GB2312" w:hAnsi="宋体" w:eastAsia="仿宋_GB2312"/>
          <w:bCs/>
          <w:sz w:val="28"/>
          <w:szCs w:val="28"/>
          <w:highlight w:val="none"/>
        </w:rPr>
        <w:t>（即席讲演</w:t>
      </w:r>
      <w:r>
        <w:rPr>
          <w:rFonts w:ascii="仿宋_GB2312" w:hAnsi="宋体" w:eastAsia="仿宋_GB2312"/>
          <w:bCs/>
          <w:sz w:val="28"/>
          <w:szCs w:val="28"/>
          <w:highlight w:val="none"/>
        </w:rPr>
        <w:t>3</w:t>
      </w:r>
      <w:r>
        <w:rPr>
          <w:rFonts w:hint="eastAsia" w:ascii="仿宋_GB2312" w:hAnsi="宋体" w:eastAsia="仿宋_GB2312"/>
          <w:bCs/>
          <w:sz w:val="28"/>
          <w:szCs w:val="28"/>
          <w:highlight w:val="none"/>
        </w:rPr>
        <w:t>分钟+模拟上课8分钟）。</w:t>
      </w:r>
    </w:p>
    <w:p>
      <w:pPr>
        <w:spacing w:line="6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2、选手不允许携带任何相关资料，备赛室将统一提供教材和电脑，进入备赛室后选手需保持安静。</w:t>
      </w:r>
    </w:p>
    <w:p>
      <w:pPr>
        <w:spacing w:before="156" w:beforeLines="50" w:line="600" w:lineRule="exact"/>
        <w:rPr>
          <w:rFonts w:ascii="等线" w:hAnsi="等线" w:eastAsia="黑体"/>
          <w:sz w:val="28"/>
          <w:szCs w:val="28"/>
          <w:highlight w:val="yellow"/>
        </w:rPr>
      </w:pPr>
      <w:r>
        <w:rPr>
          <w:rFonts w:hint="eastAsia" w:ascii="等线" w:hAnsi="等线" w:eastAsia="黑体"/>
          <w:sz w:val="28"/>
          <w:szCs w:val="28"/>
        </w:rPr>
        <w:t>三、评分细则</w:t>
      </w:r>
    </w:p>
    <w:p>
      <w:pPr>
        <w:spacing w:before="156" w:beforeLines="50"/>
        <w:ind w:firstLine="562" w:firstLineChars="200"/>
        <w:rPr>
          <w:rFonts w:ascii="仿宋_GB2312" w:eastAsia="仿宋_GB2312"/>
          <w:b/>
          <w:bCs/>
          <w:sz w:val="28"/>
          <w:szCs w:val="32"/>
        </w:rPr>
      </w:pPr>
      <w:r>
        <w:rPr>
          <w:rFonts w:hint="eastAsia" w:ascii="仿宋_GB2312" w:eastAsia="仿宋_GB2312"/>
          <w:b/>
          <w:bCs/>
          <w:sz w:val="28"/>
          <w:szCs w:val="32"/>
        </w:rPr>
        <w:t>（一）即席讲演（单项</w:t>
      </w:r>
      <w:r>
        <w:rPr>
          <w:rFonts w:ascii="仿宋_GB2312" w:eastAsia="仿宋_GB2312"/>
          <w:b/>
          <w:bCs/>
          <w:sz w:val="28"/>
          <w:szCs w:val="32"/>
        </w:rPr>
        <w:t>30</w:t>
      </w:r>
      <w:r>
        <w:rPr>
          <w:rFonts w:hint="eastAsia" w:ascii="仿宋_GB2312" w:eastAsia="仿宋_GB2312"/>
          <w:b/>
          <w:bCs/>
          <w:sz w:val="28"/>
          <w:szCs w:val="32"/>
        </w:rPr>
        <w:t>分）</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（1）要求：根据抽取的试题进行讲演，</w:t>
      </w:r>
      <w:r>
        <w:rPr>
          <w:rFonts w:hint="eastAsia" w:ascii="仿宋_GB2312" w:eastAsia="仿宋_GB2312"/>
          <w:b/>
          <w:bCs/>
          <w:sz w:val="28"/>
          <w:szCs w:val="32"/>
        </w:rPr>
        <w:t>时间不超过</w:t>
      </w:r>
      <w:r>
        <w:rPr>
          <w:rFonts w:ascii="仿宋_GB2312" w:eastAsia="仿宋_GB2312"/>
          <w:b/>
          <w:bCs/>
          <w:sz w:val="28"/>
          <w:szCs w:val="32"/>
        </w:rPr>
        <w:t>3</w:t>
      </w:r>
      <w:r>
        <w:rPr>
          <w:rFonts w:hint="eastAsia" w:ascii="仿宋_GB2312" w:eastAsia="仿宋_GB2312"/>
          <w:b/>
          <w:bCs/>
          <w:sz w:val="28"/>
          <w:szCs w:val="32"/>
        </w:rPr>
        <w:t>分钟</w:t>
      </w:r>
      <w:r>
        <w:rPr>
          <w:rFonts w:hint="eastAsia" w:ascii="仿宋_GB2312" w:eastAsia="仿宋_GB2312"/>
          <w:sz w:val="28"/>
          <w:szCs w:val="32"/>
        </w:rPr>
        <w:t>。</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 xml:space="preserve">（2）即席讲演评价标准见下表。 </w:t>
      </w:r>
    </w:p>
    <w:tbl>
      <w:tblPr>
        <w:tblStyle w:val="4"/>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79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评价内容</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评</w:t>
            </w:r>
            <w:r>
              <w:rPr>
                <w:rFonts w:ascii="Calibri" w:hAnsi="Calibri"/>
                <w:b/>
                <w:szCs w:val="21"/>
              </w:rPr>
              <w:t xml:space="preserve"> </w:t>
            </w:r>
            <w:r>
              <w:rPr>
                <w:rFonts w:hint="eastAsia" w:ascii="Calibri" w:hAnsi="Calibri"/>
                <w:b/>
                <w:szCs w:val="21"/>
              </w:rPr>
              <w:t>价</w:t>
            </w:r>
            <w:r>
              <w:rPr>
                <w:rFonts w:ascii="Calibri" w:hAnsi="Calibri"/>
                <w:b/>
                <w:szCs w:val="21"/>
              </w:rPr>
              <w:t xml:space="preserve"> </w:t>
            </w:r>
            <w:r>
              <w:rPr>
                <w:rFonts w:hint="eastAsia" w:ascii="Calibri" w:hAnsi="Calibri"/>
                <w:b/>
                <w:szCs w:val="21"/>
              </w:rPr>
              <w:t>标</w:t>
            </w:r>
            <w:r>
              <w:rPr>
                <w:rFonts w:ascii="Calibri" w:hAnsi="Calibri"/>
                <w:b/>
                <w:szCs w:val="21"/>
              </w:rPr>
              <w:t xml:space="preserve"> </w:t>
            </w:r>
            <w:r>
              <w:rPr>
                <w:rFonts w:hint="eastAsia" w:ascii="Calibri" w:hAnsi="Calibri"/>
                <w:b/>
                <w:szCs w:val="21"/>
              </w:rPr>
              <w:t>准</w:t>
            </w:r>
          </w:p>
        </w:tc>
        <w:tc>
          <w:tcPr>
            <w:tcW w:w="979" w:type="dxa"/>
            <w:tcBorders>
              <w:top w:val="single" w:color="auto" w:sz="4" w:space="0"/>
              <w:left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讲演</w:t>
            </w:r>
            <w:r>
              <w:rPr>
                <w:rFonts w:ascii="Calibri" w:hAnsi="Calibri"/>
                <w:szCs w:val="21"/>
              </w:rPr>
              <w:t>内容</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主题鲜明切题，内容充实、针对性强</w:t>
            </w:r>
          </w:p>
          <w:p>
            <w:pPr>
              <w:spacing w:line="360" w:lineRule="auto"/>
              <w:rPr>
                <w:rFonts w:ascii="Calibri" w:hAnsi="Calibri"/>
                <w:szCs w:val="21"/>
              </w:rPr>
            </w:pPr>
            <w:r>
              <w:rPr>
                <w:rFonts w:hint="eastAsia" w:ascii="Calibri" w:hAnsi="Calibri"/>
                <w:szCs w:val="21"/>
              </w:rPr>
              <w:t>问题分析到位，解决策略得当、新颖，说服力强</w:t>
            </w:r>
          </w:p>
          <w:p>
            <w:pPr>
              <w:spacing w:line="360" w:lineRule="auto"/>
              <w:rPr>
                <w:rFonts w:ascii="Calibri" w:hAnsi="Calibri"/>
                <w:szCs w:val="21"/>
              </w:rPr>
            </w:pPr>
            <w:r>
              <w:rPr>
                <w:rFonts w:hint="eastAsia" w:ascii="Calibri" w:hAnsi="Calibri"/>
                <w:szCs w:val="21"/>
              </w:rPr>
              <w:t>论据贴切，符合实际，阐释充分</w:t>
            </w:r>
          </w:p>
          <w:p>
            <w:pPr>
              <w:spacing w:line="360" w:lineRule="auto"/>
              <w:rPr>
                <w:rFonts w:ascii="Calibri" w:hAnsi="Calibri"/>
                <w:szCs w:val="21"/>
              </w:rPr>
            </w:pPr>
            <w:r>
              <w:rPr>
                <w:rFonts w:hint="eastAsia" w:ascii="Calibri" w:hAnsi="Calibri"/>
                <w:szCs w:val="21"/>
              </w:rPr>
              <w:t>内容构架结构严谨、层次分明、条理清晰</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语言</w:t>
            </w:r>
            <w:r>
              <w:rPr>
                <w:rFonts w:hint="eastAsia" w:ascii="Calibri" w:hAnsi="Calibri"/>
                <w:szCs w:val="21"/>
              </w:rPr>
              <w:t>艺术</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ascii="Calibri" w:hAnsi="Calibri"/>
                <w:szCs w:val="21"/>
              </w:rPr>
              <w:t>普通话</w:t>
            </w:r>
            <w:r>
              <w:rPr>
                <w:rFonts w:hint="eastAsia" w:ascii="Calibri" w:hAnsi="Calibri"/>
                <w:szCs w:val="21"/>
              </w:rPr>
              <w:t>(英语发音)标准，用语规范，</w:t>
            </w:r>
            <w:r>
              <w:rPr>
                <w:rFonts w:ascii="Calibri" w:hAnsi="Calibri"/>
                <w:szCs w:val="21"/>
              </w:rPr>
              <w:t>节奏处理得当</w:t>
            </w:r>
            <w:r>
              <w:rPr>
                <w:rFonts w:hint="eastAsia" w:ascii="Calibri" w:hAnsi="Calibri"/>
                <w:szCs w:val="21"/>
              </w:rPr>
              <w:t>，说服</w:t>
            </w:r>
            <w:r>
              <w:rPr>
                <w:rFonts w:ascii="Calibri" w:hAnsi="Calibri"/>
                <w:szCs w:val="21"/>
              </w:rPr>
              <w:t>力强</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思维</w:t>
            </w:r>
            <w:r>
              <w:rPr>
                <w:rFonts w:hint="eastAsia" w:ascii="Calibri" w:hAnsi="Calibri"/>
                <w:szCs w:val="21"/>
              </w:rPr>
              <w:t>艺术</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思维敏捷，逻辑清晰；灵活而有效地调整、组织讲演内容</w:t>
            </w:r>
            <w:r>
              <w:rPr>
                <w:rFonts w:ascii="Calibri" w:hAnsi="Calibri"/>
                <w:szCs w:val="21"/>
              </w:rPr>
              <w:t xml:space="preserve"> </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仪表形象</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神态自然，</w:t>
            </w:r>
            <w:r>
              <w:rPr>
                <w:rFonts w:ascii="Calibri" w:hAnsi="Calibri"/>
                <w:szCs w:val="21"/>
              </w:rPr>
              <w:t>动作适度</w:t>
            </w:r>
            <w:r>
              <w:rPr>
                <w:rFonts w:hint="eastAsia" w:ascii="Calibri" w:hAnsi="Calibri"/>
                <w:szCs w:val="21"/>
              </w:rPr>
              <w:t>，</w:t>
            </w:r>
            <w:r>
              <w:rPr>
                <w:rFonts w:hint="eastAsia" w:ascii="Calibri" w:hAnsi="Calibri"/>
                <w:szCs w:val="22"/>
              </w:rPr>
              <w:t>与讲演内容吻合</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讲演时间</w:t>
            </w:r>
          </w:p>
        </w:tc>
        <w:tc>
          <w:tcPr>
            <w:tcW w:w="57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时间在</w:t>
            </w:r>
            <w:r>
              <w:rPr>
                <w:rFonts w:ascii="Calibri" w:hAnsi="Calibri"/>
                <w:szCs w:val="21"/>
              </w:rPr>
              <w:t>2-3</w:t>
            </w:r>
            <w:r>
              <w:rPr>
                <w:rFonts w:hint="eastAsia" w:ascii="Calibri" w:hAnsi="Calibri"/>
                <w:szCs w:val="21"/>
              </w:rPr>
              <w:t>分钟之间，不超时</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7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小计</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30</w:t>
            </w:r>
          </w:p>
        </w:tc>
      </w:tr>
    </w:tbl>
    <w:p>
      <w:pPr>
        <w:rPr>
          <w:rFonts w:ascii="Calibri" w:hAnsi="Calibri"/>
          <w:b/>
          <w:sz w:val="24"/>
        </w:rPr>
      </w:pPr>
    </w:p>
    <w:p>
      <w:pPr>
        <w:numPr>
          <w:ilvl w:val="0"/>
          <w:numId w:val="2"/>
        </w:numPr>
        <w:spacing w:before="156" w:beforeLines="50"/>
        <w:ind w:firstLine="562" w:firstLineChars="200"/>
        <w:rPr>
          <w:rFonts w:ascii="仿宋_GB2312" w:eastAsia="仿宋_GB2312"/>
          <w:b/>
          <w:bCs/>
          <w:sz w:val="28"/>
          <w:szCs w:val="32"/>
        </w:rPr>
      </w:pPr>
      <w:r>
        <w:rPr>
          <w:rFonts w:hint="eastAsia" w:ascii="仿宋_GB2312" w:eastAsia="仿宋_GB2312"/>
          <w:b/>
          <w:bCs/>
          <w:sz w:val="28"/>
          <w:szCs w:val="32"/>
        </w:rPr>
        <w:t>模拟上课（单项</w:t>
      </w:r>
      <w:r>
        <w:rPr>
          <w:rFonts w:ascii="仿宋_GB2312" w:eastAsia="仿宋_GB2312"/>
          <w:b/>
          <w:bCs/>
          <w:sz w:val="28"/>
          <w:szCs w:val="32"/>
        </w:rPr>
        <w:t>7</w:t>
      </w:r>
      <w:r>
        <w:rPr>
          <w:rFonts w:hint="eastAsia" w:ascii="仿宋_GB2312" w:eastAsia="仿宋_GB2312"/>
          <w:b/>
          <w:bCs/>
          <w:sz w:val="28"/>
          <w:szCs w:val="32"/>
        </w:rPr>
        <w:t>0分）</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模拟上课是参赛者依据教学设计方案，自主选择一个“教学片段”或“环节”进行模拟上课。应能够突出新课程理念，展示驾驭课堂教学的艺术，体现创新精神和课堂教学研究的能力。</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（1）要求：根据准备的教学设计方案和课件进行模拟上课</w:t>
      </w:r>
      <w:r>
        <w:rPr>
          <w:rFonts w:hint="eastAsia" w:ascii="仿宋_GB2312" w:eastAsia="仿宋_GB2312"/>
          <w:b/>
          <w:bCs/>
          <w:sz w:val="28"/>
          <w:szCs w:val="32"/>
        </w:rPr>
        <w:t>（板书在模拟上课过程中呈现）</w:t>
      </w:r>
      <w:r>
        <w:rPr>
          <w:rFonts w:hint="eastAsia" w:ascii="仿宋_GB2312" w:eastAsia="仿宋_GB2312"/>
          <w:sz w:val="28"/>
          <w:szCs w:val="32"/>
        </w:rPr>
        <w:t>，</w:t>
      </w:r>
      <w:r>
        <w:rPr>
          <w:rFonts w:hint="eastAsia" w:ascii="仿宋_GB2312" w:eastAsia="仿宋_GB2312"/>
          <w:b/>
          <w:bCs/>
          <w:sz w:val="28"/>
          <w:szCs w:val="32"/>
        </w:rPr>
        <w:t>总时间不超过</w:t>
      </w:r>
      <w:r>
        <w:rPr>
          <w:rFonts w:hint="eastAsia" w:ascii="仿宋_GB2312" w:eastAsia="仿宋_GB2312"/>
          <w:b/>
          <w:bCs/>
          <w:sz w:val="28"/>
          <w:szCs w:val="32"/>
          <w:highlight w:val="none"/>
        </w:rPr>
        <w:t>8</w:t>
      </w:r>
      <w:r>
        <w:rPr>
          <w:rFonts w:hint="eastAsia" w:ascii="仿宋_GB2312" w:eastAsia="仿宋_GB2312"/>
          <w:b/>
          <w:bCs/>
          <w:sz w:val="28"/>
          <w:szCs w:val="32"/>
        </w:rPr>
        <w:t>分钟</w:t>
      </w:r>
      <w:r>
        <w:rPr>
          <w:rFonts w:hint="eastAsia" w:ascii="仿宋_GB2312" w:eastAsia="仿宋_GB2312"/>
          <w:sz w:val="28"/>
          <w:szCs w:val="32"/>
        </w:rPr>
        <w:t>。</w:t>
      </w:r>
    </w:p>
    <w:p>
      <w:pPr>
        <w:spacing w:before="156" w:beforeLines="50"/>
        <w:ind w:firstLine="560" w:firstLineChars="200"/>
        <w:rPr>
          <w:rFonts w:ascii="仿宋_GB2312" w:eastAsia="仿宋_GB2312"/>
          <w:sz w:val="28"/>
          <w:szCs w:val="32"/>
        </w:rPr>
      </w:pPr>
      <w:r>
        <w:rPr>
          <w:rFonts w:hint="eastAsia" w:ascii="仿宋_GB2312" w:eastAsia="仿宋_GB2312"/>
          <w:sz w:val="28"/>
          <w:szCs w:val="32"/>
        </w:rPr>
        <w:t>（2）模拟上课·板书评价标准见下表。</w:t>
      </w:r>
    </w:p>
    <w:tbl>
      <w:tblPr>
        <w:tblStyle w:val="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6176"/>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项目</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评价内容</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评</w:t>
            </w:r>
            <w:r>
              <w:rPr>
                <w:rFonts w:ascii="Calibri" w:hAnsi="Calibri"/>
                <w:b/>
                <w:szCs w:val="21"/>
              </w:rPr>
              <w:t xml:space="preserve"> </w:t>
            </w:r>
            <w:r>
              <w:rPr>
                <w:rFonts w:hint="eastAsia" w:ascii="Calibri" w:hAnsi="Calibri"/>
                <w:b/>
                <w:szCs w:val="21"/>
              </w:rPr>
              <w:t>价</w:t>
            </w:r>
            <w:r>
              <w:rPr>
                <w:rFonts w:ascii="Calibri" w:hAnsi="Calibri"/>
                <w:b/>
                <w:szCs w:val="21"/>
              </w:rPr>
              <w:t xml:space="preserve"> </w:t>
            </w:r>
            <w:r>
              <w:rPr>
                <w:rFonts w:hint="eastAsia" w:ascii="Calibri" w:hAnsi="Calibri"/>
                <w:b/>
                <w:szCs w:val="21"/>
              </w:rPr>
              <w:t>标</w:t>
            </w:r>
            <w:r>
              <w:rPr>
                <w:rFonts w:ascii="Calibri" w:hAnsi="Calibri"/>
                <w:b/>
                <w:szCs w:val="21"/>
              </w:rPr>
              <w:t xml:space="preserve"> </w:t>
            </w:r>
            <w:r>
              <w:rPr>
                <w:rFonts w:hint="eastAsia" w:ascii="Calibri" w:hAnsi="Calibri"/>
                <w:b/>
                <w:szCs w:val="21"/>
              </w:rPr>
              <w:t>准</w:t>
            </w:r>
          </w:p>
        </w:tc>
        <w:tc>
          <w:tcPr>
            <w:tcW w:w="674" w:type="dxa"/>
            <w:tcBorders>
              <w:top w:val="single" w:color="auto" w:sz="4" w:space="0"/>
              <w:left w:val="single" w:color="auto" w:sz="4" w:space="0"/>
              <w:right w:val="single" w:color="auto" w:sz="4" w:space="0"/>
            </w:tcBorders>
            <w:vAlign w:val="center"/>
          </w:tcPr>
          <w:p>
            <w:pPr>
              <w:spacing w:line="360" w:lineRule="auto"/>
              <w:jc w:val="center"/>
              <w:rPr>
                <w:rFonts w:ascii="Calibri" w:hAnsi="Calibri"/>
                <w:b/>
                <w:szCs w:val="21"/>
              </w:rPr>
            </w:pPr>
            <w:r>
              <w:rPr>
                <w:rFonts w:hint="eastAsia" w:ascii="Calibri" w:hAnsi="Calibri"/>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restart"/>
            <w:tcBorders>
              <w:top w:val="single" w:color="auto" w:sz="4" w:space="0"/>
              <w:left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模拟</w:t>
            </w:r>
          </w:p>
          <w:p>
            <w:pPr>
              <w:spacing w:line="360" w:lineRule="auto"/>
              <w:jc w:val="center"/>
              <w:rPr>
                <w:rFonts w:ascii="Calibri" w:hAnsi="Calibri"/>
                <w:szCs w:val="21"/>
              </w:rPr>
            </w:pPr>
            <w:r>
              <w:rPr>
                <w:rFonts w:hint="eastAsia" w:ascii="Calibri" w:hAnsi="Calibri"/>
                <w:szCs w:val="21"/>
              </w:rPr>
              <w:t>上课</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hint="eastAsia" w:ascii="Calibri" w:hAnsi="Calibri"/>
                <w:szCs w:val="22"/>
              </w:rPr>
              <w:t>教学目标</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目标设置明确，符合课标要求和学生实际</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360" w:lineRule="auto"/>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hint="eastAsia" w:ascii="Calibri" w:hAnsi="Calibri"/>
                <w:szCs w:val="22"/>
              </w:rPr>
              <w:t>教学内容</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重点内容讲解明白，教学难点处理恰当，关注学生已有知识和经验，注重学生能力培养，强调课堂交流互动，知识阐释正确</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360" w:lineRule="auto"/>
              <w:jc w:val="center"/>
              <w:rPr>
                <w:rFonts w:ascii="Calibri" w:hAnsi="Calibri"/>
                <w:szCs w:val="2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hint="eastAsia" w:ascii="Calibri" w:hAnsi="Calibri"/>
                <w:szCs w:val="22"/>
              </w:rPr>
              <w:t>教学方法</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 xml:space="preserve">按新课标的教学理念处理教学内容以及教与学、知识与能力的关系，较好落实教学目标；突出自主、探究、合作学习方式，体现多元化学习方法；实现有效师生互动 </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ascii="Calibri" w:hAnsi="Calibri"/>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360" w:lineRule="auto"/>
              <w:jc w:val="center"/>
              <w:rPr>
                <w:rFonts w:ascii="Calibri" w:hAnsi="Calibri"/>
                <w:szCs w:val="2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hint="eastAsia" w:ascii="Calibri" w:hAnsi="Calibri"/>
                <w:szCs w:val="22"/>
              </w:rPr>
              <w:t>教学过程</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教学整体安排合理，环节紧凑，层次清晰；创造性使用教材；教学特色突出；恰当使用多媒体课件辅助教学，教学演示规范</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ascii="Calibri" w:hAnsi="Calibri"/>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spacing w:line="360" w:lineRule="auto"/>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教学素质</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教态自然亲切、仪表举止得体，注重目光交流，教学语言规范准确、生动简洁</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right w:val="single" w:color="auto" w:sz="4" w:space="0"/>
            </w:tcBorders>
            <w:vAlign w:val="center"/>
          </w:tcPr>
          <w:p>
            <w:pPr>
              <w:widowControl/>
              <w:spacing w:line="360" w:lineRule="auto"/>
              <w:jc w:val="left"/>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教学效果</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按时完成教学任务，教学目标达成度高</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41"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教学创新</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1"/>
              </w:rPr>
              <w:t>教学过程富有创意；能创造性的使用教材；教学方法灵活多样，有突出的特色</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板书</w:t>
            </w:r>
          </w:p>
          <w:p>
            <w:pPr>
              <w:spacing w:line="360" w:lineRule="auto"/>
              <w:jc w:val="center"/>
              <w:rPr>
                <w:rFonts w:ascii="Calibri" w:hAnsi="Calibri"/>
                <w:szCs w:val="21"/>
              </w:rPr>
            </w:pPr>
            <w:r>
              <w:rPr>
                <w:rFonts w:hint="eastAsia" w:ascii="Calibri" w:hAnsi="Calibri"/>
                <w:szCs w:val="21"/>
              </w:rPr>
              <w:t>设计</w:t>
            </w: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内容匹配</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2"/>
              </w:rPr>
              <w:t>反映教学设计意图，突显重点、难点，能调动学生主动性和积极性</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构图</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2"/>
              </w:rPr>
            </w:pPr>
            <w:r>
              <w:rPr>
                <w:rFonts w:hint="eastAsia" w:ascii="Calibri" w:hAnsi="Calibri"/>
                <w:szCs w:val="22"/>
              </w:rPr>
              <w:t>构思巧妙，富有创意，构图自然，形象直观，教学辅助作用显著</w:t>
            </w:r>
          </w:p>
        </w:tc>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kern w:val="0"/>
                <w:szCs w:val="21"/>
              </w:rPr>
            </w:pPr>
            <w:r>
              <w:rPr>
                <w:rFonts w:ascii="Calibri" w:hAnsi="Calibri"/>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Calibri" w:hAnsi="Calibri"/>
                <w:szCs w:val="21"/>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hint="eastAsia" w:ascii="Calibri" w:hAnsi="Calibri"/>
                <w:szCs w:val="21"/>
              </w:rPr>
              <w:t>书写</w:t>
            </w:r>
          </w:p>
        </w:tc>
        <w:tc>
          <w:tcPr>
            <w:tcW w:w="6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szCs w:val="21"/>
              </w:rPr>
            </w:pPr>
            <w:r>
              <w:rPr>
                <w:rFonts w:hint="eastAsia" w:ascii="Calibri" w:hAnsi="Calibri"/>
                <w:szCs w:val="22"/>
              </w:rPr>
              <w:t>书写快速流畅，字形大小适度，清楚整洁，美观大方，规范正确</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1"/>
              </w:rPr>
            </w:pPr>
            <w:r>
              <w:rPr>
                <w:rFonts w:ascii="Calibri" w:hAnsi="Calibri"/>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2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szCs w:val="22"/>
              </w:rPr>
            </w:pPr>
            <w:r>
              <w:rPr>
                <w:rFonts w:hint="eastAsia" w:ascii="Calibri" w:hAnsi="Calibri"/>
                <w:szCs w:val="22"/>
              </w:rPr>
              <w:t>小计</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kern w:val="0"/>
                <w:szCs w:val="21"/>
              </w:rPr>
            </w:pPr>
            <w:r>
              <w:rPr>
                <w:rFonts w:ascii="Calibri" w:hAnsi="Calibri"/>
                <w:kern w:val="0"/>
                <w:szCs w:val="21"/>
              </w:rPr>
              <w:t>7</w:t>
            </w:r>
            <w:r>
              <w:rPr>
                <w:rFonts w:hint="eastAsia" w:ascii="Calibri" w:hAnsi="Calibri"/>
                <w:kern w:val="0"/>
                <w:szCs w:val="21"/>
              </w:rPr>
              <w:t>0</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6722"/>
    <w:multiLevelType w:val="singleLevel"/>
    <w:tmpl w:val="3DFB6722"/>
    <w:lvl w:ilvl="0" w:tentative="0">
      <w:start w:val="1"/>
      <w:numFmt w:val="chineseCounting"/>
      <w:suff w:val="nothing"/>
      <w:lvlText w:val="%1、"/>
      <w:lvlJc w:val="left"/>
      <w:rPr>
        <w:rFonts w:hint="eastAsia"/>
      </w:rPr>
    </w:lvl>
  </w:abstractNum>
  <w:abstractNum w:abstractNumId="1">
    <w:nsid w:val="4DFFCF61"/>
    <w:multiLevelType w:val="singleLevel"/>
    <w:tmpl w:val="4DFFCF6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B267B5"/>
    <w:rsid w:val="001905BA"/>
    <w:rsid w:val="008A5D75"/>
    <w:rsid w:val="00B267B5"/>
    <w:rsid w:val="00E745D9"/>
    <w:rsid w:val="1F693B1D"/>
    <w:rsid w:val="2E7758BB"/>
    <w:rsid w:val="350353E3"/>
    <w:rsid w:val="40DF3B84"/>
    <w:rsid w:val="546C30CD"/>
    <w:rsid w:val="547352D5"/>
    <w:rsid w:val="59AF4398"/>
    <w:rsid w:val="5A9948D3"/>
    <w:rsid w:val="652305D4"/>
    <w:rsid w:val="73CC6C61"/>
    <w:rsid w:val="759F1D9E"/>
    <w:rsid w:val="75FD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211</Words>
  <Characters>1209</Characters>
  <Lines>10</Lines>
  <Paragraphs>2</Paragraphs>
  <TotalTime>0</TotalTime>
  <ScaleCrop>false</ScaleCrop>
  <LinksUpToDate>false</LinksUpToDate>
  <CharactersWithSpaces>1418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2021-04-19T02:14:00Z</dcterms:created>
  <dc:creator>56382</dc:creator>
  <cp:lastModifiedBy>kirito 圣光之晨</cp:lastModifiedBy>
  <dcterms:modified xsi:type="dcterms:W3CDTF">2023-04-29T09:41:40Z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34B85FCB579946A89542BB66A127FC7E</vt:lpwstr>
  </property>
</Properties>
</file>